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798"/>
        <w:gridCol w:w="2200"/>
        <w:gridCol w:w="3014"/>
      </w:tblGrid>
      <w:tr w:rsidR="009F7DF3" w:rsidTr="001E2F20">
        <w:tc>
          <w:tcPr>
            <w:tcW w:w="379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200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3014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1E2F20">
        <w:tc>
          <w:tcPr>
            <w:tcW w:w="3798" w:type="dxa"/>
            <w:vAlign w:val="center"/>
          </w:tcPr>
          <w:p w:rsidR="009F7DF3" w:rsidRPr="005F3C17" w:rsidRDefault="00C05DD0" w:rsidP="009E447B">
            <w:pPr>
              <w:jc w:val="center"/>
              <w:rPr>
                <w:b/>
              </w:rPr>
            </w:pPr>
            <w:r>
              <w:rPr>
                <w:b/>
              </w:rPr>
              <w:t xml:space="preserve">Prüfungsteil </w:t>
            </w:r>
            <w:r w:rsidR="009E447B">
              <w:rPr>
                <w:b/>
              </w:rPr>
              <w:t>1b</w:t>
            </w:r>
            <w:r>
              <w:rPr>
                <w:b/>
              </w:rPr>
              <w:t xml:space="preserve">: </w:t>
            </w:r>
            <w:r w:rsidR="009E447B">
              <w:rPr>
                <w:b/>
              </w:rPr>
              <w:t>Spr</w:t>
            </w:r>
            <w:r w:rsidR="00A06DFF">
              <w:rPr>
                <w:b/>
              </w:rPr>
              <w:t>a</w:t>
            </w:r>
            <w:r w:rsidR="009E447B">
              <w:rPr>
                <w:b/>
              </w:rPr>
              <w:t>chmittlung</w:t>
            </w:r>
          </w:p>
        </w:tc>
        <w:tc>
          <w:tcPr>
            <w:tcW w:w="2200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proofErr w:type="spellStart"/>
            <w:r w:rsidRPr="00C05DD0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3014" w:type="dxa"/>
            <w:vAlign w:val="center"/>
          </w:tcPr>
          <w:p w:rsidR="009F7DF3" w:rsidRPr="005F3C17" w:rsidRDefault="005F3C17" w:rsidP="009E447B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="009E447B">
              <w:rPr>
                <w:b/>
                <w:color w:val="000000" w:themeColor="text1"/>
              </w:rPr>
              <w:t>60</w:t>
            </w:r>
            <w:r w:rsidRPr="00C05DD0">
              <w:rPr>
                <w:b/>
                <w:color w:val="000000" w:themeColor="text1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E453A9" w:rsidRDefault="00E453A9"/>
    <w:p w:rsidR="00257089" w:rsidRDefault="00257089">
      <w:r w:rsidRPr="00F14E51">
        <w:rPr>
          <w:b/>
        </w:rPr>
        <w:t>Name:</w:t>
      </w:r>
      <w:r w:rsidR="00E07CF7">
        <w:t xml:space="preserve"> </w:t>
      </w:r>
      <w:r w:rsidR="00212F0D">
        <w:t>_</w:t>
      </w:r>
      <w:r w:rsidR="00212F0D" w:rsidRPr="001E2F20">
        <w:rPr>
          <w:highlight w:val="yellow"/>
        </w:rPr>
        <w:t>%</w:t>
      </w:r>
      <w:r w:rsidR="00212F0D">
        <w:t>_</w:t>
      </w:r>
    </w:p>
    <w:p w:rsidR="003B450E" w:rsidRDefault="003B450E"/>
    <w:p w:rsidR="00A83C8F" w:rsidRDefault="00A83C8F">
      <w:r w:rsidRPr="00A83C8F">
        <w:rPr>
          <w:b/>
        </w:rPr>
        <w:t xml:space="preserve">Klasse: </w:t>
      </w:r>
      <w:r w:rsidR="001E2F20">
        <w:t>_</w:t>
      </w:r>
      <w:r w:rsidR="001E2F20" w:rsidRPr="001E2F20">
        <w:rPr>
          <w:highlight w:val="yellow"/>
        </w:rPr>
        <w:t>%</w:t>
      </w:r>
      <w:r w:rsidR="001E2F20">
        <w:t>_</w:t>
      </w:r>
    </w:p>
    <w:p w:rsidR="00A83C8F" w:rsidRDefault="00A83C8F">
      <w:pPr>
        <w:spacing w:after="0" w:line="240" w:lineRule="auto"/>
      </w:pPr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EA00E5">
          <w:pPr>
            <w:pStyle w:val="Titel2"/>
          </w:pPr>
          <w:r>
            <w:t>Inhaltsverzeichnis</w:t>
          </w:r>
        </w:p>
      </w:sdtContent>
    </w:sdt>
    <w:p w:rsidR="00CD4D5E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3488223" w:history="1">
        <w:r w:rsidR="00CD4D5E" w:rsidRPr="00C05324">
          <w:rPr>
            <w:rStyle w:val="Hyperlink"/>
            <w:noProof/>
            <w:lang w:val="en-GB"/>
          </w:rPr>
          <w:t>Aufgabenstellung</w:t>
        </w:r>
        <w:r w:rsidR="00CD4D5E">
          <w:rPr>
            <w:noProof/>
            <w:webHidden/>
          </w:rPr>
          <w:tab/>
        </w:r>
        <w:r w:rsidR="00CD4D5E">
          <w:rPr>
            <w:noProof/>
            <w:webHidden/>
          </w:rPr>
          <w:fldChar w:fldCharType="begin"/>
        </w:r>
        <w:r w:rsidR="00CD4D5E">
          <w:rPr>
            <w:noProof/>
            <w:webHidden/>
          </w:rPr>
          <w:instrText xml:space="preserve"> PAGEREF _Toc163488223 \h </w:instrText>
        </w:r>
        <w:r w:rsidR="00CD4D5E">
          <w:rPr>
            <w:noProof/>
            <w:webHidden/>
          </w:rPr>
        </w:r>
        <w:r w:rsidR="00CD4D5E">
          <w:rPr>
            <w:noProof/>
            <w:webHidden/>
          </w:rPr>
          <w:fldChar w:fldCharType="separate"/>
        </w:r>
        <w:r w:rsidR="00CD4D5E">
          <w:rPr>
            <w:noProof/>
            <w:webHidden/>
          </w:rPr>
          <w:t>3</w:t>
        </w:r>
        <w:r w:rsidR="00CD4D5E">
          <w:rPr>
            <w:noProof/>
            <w:webHidden/>
          </w:rPr>
          <w:fldChar w:fldCharType="end"/>
        </w:r>
      </w:hyperlink>
    </w:p>
    <w:p w:rsidR="00CD4D5E" w:rsidRDefault="00212F0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8224" w:history="1">
        <w:r w:rsidR="00CD4D5E" w:rsidRPr="00C05324">
          <w:rPr>
            <w:rStyle w:val="Hyperlink"/>
            <w:noProof/>
          </w:rPr>
          <w:t>Material</w:t>
        </w:r>
        <w:r w:rsidR="00CD4D5E">
          <w:rPr>
            <w:noProof/>
            <w:webHidden/>
          </w:rPr>
          <w:tab/>
        </w:r>
        <w:r w:rsidR="00CD4D5E">
          <w:rPr>
            <w:noProof/>
            <w:webHidden/>
          </w:rPr>
          <w:fldChar w:fldCharType="begin"/>
        </w:r>
        <w:r w:rsidR="00CD4D5E">
          <w:rPr>
            <w:noProof/>
            <w:webHidden/>
          </w:rPr>
          <w:instrText xml:space="preserve"> PAGEREF _Toc163488224 \h </w:instrText>
        </w:r>
        <w:r w:rsidR="00CD4D5E">
          <w:rPr>
            <w:noProof/>
            <w:webHidden/>
          </w:rPr>
        </w:r>
        <w:r w:rsidR="00CD4D5E">
          <w:rPr>
            <w:noProof/>
            <w:webHidden/>
          </w:rPr>
          <w:fldChar w:fldCharType="separate"/>
        </w:r>
        <w:r w:rsidR="00CD4D5E">
          <w:rPr>
            <w:noProof/>
            <w:webHidden/>
          </w:rPr>
          <w:t>4</w:t>
        </w:r>
        <w:r w:rsidR="00CD4D5E">
          <w:rPr>
            <w:noProof/>
            <w:webHidden/>
          </w:rPr>
          <w:fldChar w:fldCharType="end"/>
        </w:r>
      </w:hyperlink>
    </w:p>
    <w:p w:rsidR="00CD4D5E" w:rsidRDefault="00212F0D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8225" w:history="1">
        <w:r w:rsidR="00CD4D5E" w:rsidRPr="00C05324">
          <w:rPr>
            <w:rStyle w:val="Hyperlink"/>
            <w:noProof/>
          </w:rPr>
          <w:t>Text: Anna-Lena Scholz, „Auf sich gestellt“</w:t>
        </w:r>
        <w:r w:rsidR="00CD4D5E">
          <w:rPr>
            <w:noProof/>
            <w:webHidden/>
          </w:rPr>
          <w:tab/>
        </w:r>
        <w:r w:rsidR="00CD4D5E">
          <w:rPr>
            <w:noProof/>
            <w:webHidden/>
          </w:rPr>
          <w:fldChar w:fldCharType="begin"/>
        </w:r>
        <w:r w:rsidR="00CD4D5E">
          <w:rPr>
            <w:noProof/>
            <w:webHidden/>
          </w:rPr>
          <w:instrText xml:space="preserve"> PAGEREF _Toc163488225 \h </w:instrText>
        </w:r>
        <w:r w:rsidR="00CD4D5E">
          <w:rPr>
            <w:noProof/>
            <w:webHidden/>
          </w:rPr>
        </w:r>
        <w:r w:rsidR="00CD4D5E">
          <w:rPr>
            <w:noProof/>
            <w:webHidden/>
          </w:rPr>
          <w:fldChar w:fldCharType="separate"/>
        </w:r>
        <w:r w:rsidR="00CD4D5E">
          <w:rPr>
            <w:noProof/>
            <w:webHidden/>
          </w:rPr>
          <w:t>4</w:t>
        </w:r>
        <w:r w:rsidR="00CD4D5E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3B450E" w:rsidRPr="008C464F" w:rsidRDefault="003B450E" w:rsidP="00C05DD0">
      <w:pPr>
        <w:pStyle w:val="berschrift1"/>
        <w:rPr>
          <w:lang w:val="en-GB"/>
        </w:rPr>
      </w:pPr>
      <w:r w:rsidRPr="008C464F">
        <w:rPr>
          <w:lang w:val="en-GB"/>
        </w:rPr>
        <w:br w:type="page"/>
      </w:r>
      <w:bookmarkStart w:id="0" w:name="_Toc163488223"/>
      <w:proofErr w:type="spellStart"/>
      <w:r w:rsidR="00036F44" w:rsidRPr="008C464F">
        <w:rPr>
          <w:lang w:val="en-GB"/>
        </w:rPr>
        <w:lastRenderedPageBreak/>
        <w:t>Aufgaben</w:t>
      </w:r>
      <w:r w:rsidR="00C05DD0" w:rsidRPr="008C464F">
        <w:rPr>
          <w:lang w:val="en-GB"/>
        </w:rPr>
        <w:t>stellung</w:t>
      </w:r>
      <w:bookmarkEnd w:id="0"/>
      <w:proofErr w:type="spellEnd"/>
    </w:p>
    <w:p w:rsidR="009E447B" w:rsidRDefault="009E447B" w:rsidP="009E447B">
      <w:pPr>
        <w:rPr>
          <w:lang w:val="en-GB"/>
        </w:rPr>
      </w:pPr>
    </w:p>
    <w:p w:rsidR="009E447B" w:rsidRPr="009E447B" w:rsidRDefault="009E447B" w:rsidP="009E447B">
      <w:pPr>
        <w:rPr>
          <w:lang w:val="en-GB"/>
        </w:rPr>
      </w:pPr>
      <w:r w:rsidRPr="009E447B">
        <w:rPr>
          <w:lang w:val="en-GB"/>
        </w:rPr>
        <w:t xml:space="preserve">Funding their higher education is problematic for many students. </w:t>
      </w:r>
      <w:proofErr w:type="gramStart"/>
      <w:r w:rsidRPr="009E447B">
        <w:rPr>
          <w:lang w:val="en-GB"/>
        </w:rPr>
        <w:t>Your American friend, who has just enrolled at university, is interested in the situation in Germany and has asked you how students in Germany finance their studies.</w:t>
      </w:r>
      <w:proofErr w:type="gramEnd"/>
      <w:r w:rsidRPr="009E447B">
        <w:rPr>
          <w:lang w:val="en-GB"/>
        </w:rPr>
        <w:t xml:space="preserve"> </w:t>
      </w:r>
    </w:p>
    <w:p w:rsidR="00B920D0" w:rsidRDefault="009E447B" w:rsidP="009E447B">
      <w:pPr>
        <w:rPr>
          <w:lang w:val="en-GB"/>
        </w:rPr>
      </w:pPr>
      <w:r w:rsidRPr="009E447B">
        <w:rPr>
          <w:lang w:val="en-GB"/>
        </w:rPr>
        <w:t>Based on the article below, write an email to your friend, presenting the student loan program ‘</w:t>
      </w:r>
      <w:proofErr w:type="spellStart"/>
      <w:r w:rsidRPr="009E447B">
        <w:rPr>
          <w:lang w:val="en-GB"/>
        </w:rPr>
        <w:t>Bafög</w:t>
      </w:r>
      <w:proofErr w:type="spellEnd"/>
      <w:r w:rsidRPr="009E447B">
        <w:rPr>
          <w:lang w:val="en-GB"/>
        </w:rPr>
        <w:t>’ and current problems related to it.</w:t>
      </w:r>
    </w:p>
    <w:p w:rsidR="00B920D0" w:rsidRDefault="00B920D0">
      <w:pPr>
        <w:spacing w:after="0" w:line="240" w:lineRule="auto"/>
        <w:rPr>
          <w:lang w:val="en-GB"/>
        </w:rPr>
        <w:sectPr w:rsidR="00B920D0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lang w:val="en-GB"/>
        </w:rPr>
        <w:br w:type="page"/>
      </w:r>
    </w:p>
    <w:p w:rsidR="009E447B" w:rsidRPr="00666D63" w:rsidRDefault="009E447B" w:rsidP="00666D63">
      <w:pPr>
        <w:pStyle w:val="berschrift1"/>
      </w:pPr>
      <w:bookmarkStart w:id="1" w:name="_Toc163488224"/>
      <w:r w:rsidRPr="00A06DFF">
        <w:lastRenderedPageBreak/>
        <w:t>Material</w:t>
      </w:r>
      <w:bookmarkEnd w:id="1"/>
    </w:p>
    <w:p w:rsidR="009E447B" w:rsidRPr="00666D63" w:rsidRDefault="009E447B" w:rsidP="00666D63">
      <w:pPr>
        <w:pStyle w:val="berschrift3"/>
      </w:pPr>
      <w:bookmarkStart w:id="2" w:name="_Toc163488225"/>
      <w:r w:rsidRPr="009E447B">
        <w:t>Text: Anna-Lena Scholz, „Auf sich gestellt“</w:t>
      </w:r>
      <w:bookmarkEnd w:id="2"/>
    </w:p>
    <w:p w:rsidR="004D7FB9" w:rsidRDefault="004D7FB9" w:rsidP="00E9570E">
      <w:pPr>
        <w:pStyle w:val="Listenfortsetzung"/>
      </w:pPr>
    </w:p>
    <w:p w:rsidR="00B920D0" w:rsidRDefault="009E447B" w:rsidP="00E9570E">
      <w:pPr>
        <w:pStyle w:val="Listenfortsetzung"/>
      </w:pPr>
      <w:r>
        <w:t xml:space="preserve">Zwei Silben nur: </w:t>
      </w:r>
      <w:proofErr w:type="spellStart"/>
      <w:proofErr w:type="gramStart"/>
      <w:r>
        <w:t>Ba-fög</w:t>
      </w:r>
      <w:proofErr w:type="spellEnd"/>
      <w:proofErr w:type="gramEnd"/>
      <w:r>
        <w:t>. Sie stehen für Millione</w:t>
      </w:r>
      <w:r w:rsidR="00B920D0">
        <w:t>n Aufstiegsgeschichten, für das</w:t>
      </w:r>
    </w:p>
    <w:p w:rsidR="00B920D0" w:rsidRDefault="009E447B" w:rsidP="00E9570E">
      <w:pPr>
        <w:pStyle w:val="Listenfortsetzung"/>
      </w:pPr>
      <w:r>
        <w:t>Bildungsversprechen eines ganzen Landes. Wer stud</w:t>
      </w:r>
      <w:r w:rsidR="00B920D0">
        <w:t>ieren will, der kann. Der Staat</w:t>
      </w:r>
    </w:p>
    <w:p w:rsidR="009E447B" w:rsidRDefault="009E447B" w:rsidP="00E9570E">
      <w:pPr>
        <w:pStyle w:val="Listenfortsetzung"/>
      </w:pPr>
      <w:r>
        <w:t>unterstützt.</w:t>
      </w:r>
    </w:p>
    <w:p w:rsidR="009E447B" w:rsidRDefault="009E447B" w:rsidP="00E9570E">
      <w:pPr>
        <w:pStyle w:val="Listenfortsetzung"/>
      </w:pPr>
      <w:r>
        <w:t>Bafög, das steht eigentlich für: Bundesausbildungsförderungsgesetz. Vor 50 Jahren</w:t>
      </w:r>
    </w:p>
    <w:p w:rsidR="00B920D0" w:rsidRDefault="009E447B" w:rsidP="00E9570E">
      <w:pPr>
        <w:pStyle w:val="Liste"/>
      </w:pPr>
      <w:r>
        <w:t>5</w:t>
      </w:r>
      <w:r>
        <w:tab/>
        <w:t>wurde es eingeführt, zum Wintersemester 1971. Sei</w:t>
      </w:r>
      <w:r w:rsidR="00B920D0">
        <w:t>tdem hat es rund fünf Millionen</w:t>
      </w:r>
    </w:p>
    <w:p w:rsidR="00B920D0" w:rsidRDefault="009E447B" w:rsidP="00B920D0">
      <w:pPr>
        <w:pStyle w:val="Listenfortsetzung"/>
      </w:pPr>
      <w:r>
        <w:t>Menschen ein Studium ermöglicht. Viele hätten ohne diese Hilfe den Weg an die</w:t>
      </w:r>
    </w:p>
    <w:p w:rsidR="00B920D0" w:rsidRDefault="009E447B" w:rsidP="00B920D0">
      <w:pPr>
        <w:pStyle w:val="Listenfortsetzung"/>
      </w:pPr>
      <w:r>
        <w:t xml:space="preserve">Universität nicht gehen können. Menschen, bei </w:t>
      </w:r>
      <w:r w:rsidR="00B920D0">
        <w:t>denen jeder Pfennig fehlte. Die</w:t>
      </w:r>
    </w:p>
    <w:p w:rsidR="00B920D0" w:rsidRDefault="009E447B" w:rsidP="00B920D0">
      <w:pPr>
        <w:pStyle w:val="Listenfortsetzung"/>
      </w:pPr>
      <w:r>
        <w:t>dachten, ein Studium sei für die anderen – die Akad</w:t>
      </w:r>
      <w:r w:rsidR="00B920D0">
        <w:t>emikerkinder, die Wohlhabenden,</w:t>
      </w:r>
    </w:p>
    <w:p w:rsidR="009E447B" w:rsidRDefault="009E447B" w:rsidP="00B920D0">
      <w:pPr>
        <w:pStyle w:val="Listenfortsetzung"/>
      </w:pPr>
      <w:r>
        <w:t>die Schlaueren –, die sich dann aber doch trauten. Menschen wie der Showmaster</w:t>
      </w:r>
    </w:p>
    <w:p w:rsidR="00B920D0" w:rsidRDefault="009E447B" w:rsidP="00E9570E">
      <w:pPr>
        <w:pStyle w:val="Liste"/>
      </w:pPr>
      <w:r>
        <w:t>10</w:t>
      </w:r>
      <w:r>
        <w:tab/>
        <w:t>Thomas Gottschalk. Die frühere Bildu</w:t>
      </w:r>
      <w:r w:rsidR="00B920D0">
        <w:t>ngsministerin Edelgard Bulmahn.</w:t>
      </w:r>
    </w:p>
    <w:p w:rsidR="00B920D0" w:rsidRDefault="009E447B" w:rsidP="00B920D0">
      <w:pPr>
        <w:pStyle w:val="Listenfortsetzung"/>
      </w:pPr>
      <w:r>
        <w:t xml:space="preserve">Bundespräsident Frank-Walter Steinmeier. Der sagte </w:t>
      </w:r>
      <w:r w:rsidR="00B920D0">
        <w:t>einmal: „Für mich war das Bafög</w:t>
      </w:r>
    </w:p>
    <w:p w:rsidR="00B920D0" w:rsidRDefault="009E447B" w:rsidP="00B920D0">
      <w:pPr>
        <w:pStyle w:val="Listenfortsetzung"/>
      </w:pPr>
      <w:r>
        <w:t>die entscheidende Unterstützung. Meine Eltern</w:t>
      </w:r>
      <w:bookmarkStart w:id="3" w:name="_GoBack"/>
      <w:bookmarkEnd w:id="3"/>
      <w:r>
        <w:t xml:space="preserve"> hätt</w:t>
      </w:r>
      <w:r w:rsidR="00B920D0">
        <w:t>en die Last allein nicht tragen</w:t>
      </w:r>
    </w:p>
    <w:p w:rsidR="009E447B" w:rsidRDefault="009E447B" w:rsidP="00B920D0">
      <w:pPr>
        <w:pStyle w:val="Listenfortsetzung"/>
      </w:pPr>
      <w:r>
        <w:t>können.“</w:t>
      </w:r>
    </w:p>
    <w:p w:rsidR="009E447B" w:rsidRDefault="009E447B" w:rsidP="00B920D0">
      <w:pPr>
        <w:pStyle w:val="Listenfortsetzung"/>
      </w:pPr>
      <w:r>
        <w:lastRenderedPageBreak/>
        <w:t>Nicht nur die Einzelnen profitierten davon, auch die Gesellschaft als Ganzes. Das</w:t>
      </w:r>
    </w:p>
    <w:p w:rsidR="00B920D0" w:rsidRDefault="009E447B" w:rsidP="00E9570E">
      <w:pPr>
        <w:pStyle w:val="Liste"/>
      </w:pPr>
      <w:r>
        <w:t>15</w:t>
      </w:r>
      <w:r>
        <w:tab/>
        <w:t>Bafög war ein Motor der Bildungsexpansion, die</w:t>
      </w:r>
      <w:r w:rsidR="00B920D0">
        <w:t xml:space="preserve"> bis heute den Wohlstand dieses</w:t>
      </w:r>
    </w:p>
    <w:p w:rsidR="00B920D0" w:rsidRDefault="009E447B" w:rsidP="00B920D0">
      <w:pPr>
        <w:pStyle w:val="Listenfortsetzung"/>
      </w:pPr>
      <w:r>
        <w:t>Landes sichert: Fundiertes Wissen ist eine kris</w:t>
      </w:r>
      <w:r w:rsidR="00B920D0">
        <w:t>enstabile Währung in unsicheren</w:t>
      </w:r>
    </w:p>
    <w:p w:rsidR="00B920D0" w:rsidRDefault="009E447B" w:rsidP="00B920D0">
      <w:pPr>
        <w:pStyle w:val="Listenfortsetzung"/>
      </w:pPr>
      <w:r>
        <w:t>Zeiten, der Bedarf an akademisch ausgebildeten F</w:t>
      </w:r>
      <w:r w:rsidR="00B920D0">
        <w:t>achkräften ist so hoch wie nie.</w:t>
      </w:r>
    </w:p>
    <w:p w:rsidR="00B920D0" w:rsidRDefault="009E447B" w:rsidP="00B920D0">
      <w:pPr>
        <w:pStyle w:val="Listenfortsetzung"/>
      </w:pPr>
      <w:r>
        <w:t xml:space="preserve">Ausgerechnet jetzt aber, wenn das Bafög sein 50. </w:t>
      </w:r>
      <w:r w:rsidR="00B920D0">
        <w:t>Jubiläum feiert und es so viele</w:t>
      </w:r>
    </w:p>
    <w:p w:rsidR="009E447B" w:rsidRDefault="009E447B" w:rsidP="00B920D0">
      <w:pPr>
        <w:pStyle w:val="Listenfortsetzung"/>
      </w:pPr>
      <w:r>
        <w:t>Studierende gibt wie nie – da blutet es aus. Nur noch elf Prozent aller Studierenden</w:t>
      </w:r>
    </w:p>
    <w:p w:rsidR="009E447B" w:rsidRDefault="009E447B" w:rsidP="00E9570E">
      <w:pPr>
        <w:pStyle w:val="Liste"/>
      </w:pPr>
      <w:r>
        <w:t>20</w:t>
      </w:r>
      <w:r>
        <w:tab/>
        <w:t>bekommen Bafög, anfangs war es jeder zweite. […]</w:t>
      </w:r>
    </w:p>
    <w:p w:rsidR="00B920D0" w:rsidRDefault="009E447B" w:rsidP="00E9570E">
      <w:pPr>
        <w:pStyle w:val="Listenfortsetzung"/>
      </w:pPr>
      <w:r>
        <w:t>Das große Versprechen von damals jedenfalls ist kaum</w:t>
      </w:r>
      <w:r w:rsidR="00B920D0">
        <w:t xml:space="preserve"> noch zu erspähen hinter lauter</w:t>
      </w:r>
    </w:p>
    <w:p w:rsidR="00B920D0" w:rsidRDefault="009E447B" w:rsidP="00E9570E">
      <w:pPr>
        <w:pStyle w:val="Listenfortsetzung"/>
      </w:pPr>
      <w:r>
        <w:t>Baustellen. Sie sind seit Jahren bekannt. Die Bean</w:t>
      </w:r>
      <w:r w:rsidR="00B920D0">
        <w:t>tragung des Bafög ist irrwitzig</w:t>
      </w:r>
    </w:p>
    <w:p w:rsidR="00B920D0" w:rsidRDefault="009E447B" w:rsidP="00E9570E">
      <w:pPr>
        <w:pStyle w:val="Listenfortsetzung"/>
      </w:pPr>
      <w:r>
        <w:t>bürokratisch und mangelhaft digitalisiert – in de</w:t>
      </w:r>
      <w:r w:rsidR="00B920D0">
        <w:t>r Pandemie mussten manche Akten</w:t>
      </w:r>
    </w:p>
    <w:p w:rsidR="009E447B" w:rsidRDefault="009E447B" w:rsidP="00E9570E">
      <w:pPr>
        <w:pStyle w:val="Listenfortsetzung"/>
      </w:pPr>
      <w:r>
        <w:t>zur Bearbeitung ins Homeoffice und zurückgebracht werden. Die ausgezahlten</w:t>
      </w:r>
    </w:p>
    <w:p w:rsidR="00B920D0" w:rsidRDefault="009E447B" w:rsidP="00E9570E">
      <w:pPr>
        <w:pStyle w:val="Liste"/>
      </w:pPr>
      <w:r>
        <w:t>25</w:t>
      </w:r>
      <w:r>
        <w:tab/>
        <w:t>Summen sind geringer als die durchschnittlichen M</w:t>
      </w:r>
      <w:r w:rsidR="00B920D0">
        <w:t>iet- und Lebenshaltungskosten –</w:t>
      </w:r>
    </w:p>
    <w:p w:rsidR="00B920D0" w:rsidRDefault="009E447B" w:rsidP="00B920D0">
      <w:pPr>
        <w:pStyle w:val="Listenfortsetzung"/>
      </w:pPr>
      <w:r>
        <w:t>das Bundesverfassungsgericht prüft</w:t>
      </w:r>
      <w:r w:rsidR="00B920D0">
        <w:t>, ob die Bedarfssätze unter dem</w:t>
      </w:r>
    </w:p>
    <w:p w:rsidR="00B920D0" w:rsidRDefault="009E447B" w:rsidP="00B920D0">
      <w:pPr>
        <w:pStyle w:val="Listenfortsetzung"/>
      </w:pPr>
      <w:r>
        <w:t>Existenzminimum liegen. Schließlich das Hauptproble</w:t>
      </w:r>
      <w:r w:rsidR="00B920D0">
        <w:t>m: Die Förderung erreicht nicht</w:t>
      </w:r>
    </w:p>
    <w:p w:rsidR="00B920D0" w:rsidRDefault="009E447B" w:rsidP="00B920D0">
      <w:pPr>
        <w:pStyle w:val="Listenfortsetzung"/>
      </w:pPr>
      <w:r>
        <w:t>ihre Zielgruppe, weil die Regeln nicht ausreichend an d</w:t>
      </w:r>
      <w:r w:rsidR="00B920D0">
        <w:t>ie veränderte gesellschaftliche</w:t>
      </w:r>
    </w:p>
    <w:p w:rsidR="009E447B" w:rsidRDefault="009E447B" w:rsidP="00B920D0">
      <w:pPr>
        <w:pStyle w:val="Listenfortsetzung"/>
      </w:pPr>
      <w:r>
        <w:t>Realität angepasst wurden.</w:t>
      </w:r>
    </w:p>
    <w:p w:rsidR="00B920D0" w:rsidRDefault="009E447B" w:rsidP="00E9570E">
      <w:pPr>
        <w:pStyle w:val="Liste"/>
      </w:pPr>
      <w:r>
        <w:t>30</w:t>
      </w:r>
      <w:r>
        <w:tab/>
        <w:t>Inzwischen studiert die Hälfte eines Jahrgangs, de</w:t>
      </w:r>
      <w:r w:rsidR="00B920D0">
        <w:t>r Besuch einer Universität oder</w:t>
      </w:r>
    </w:p>
    <w:p w:rsidR="00B920D0" w:rsidRDefault="009E447B" w:rsidP="00B920D0">
      <w:pPr>
        <w:pStyle w:val="Listenfortsetzung"/>
      </w:pPr>
      <w:r>
        <w:t>Fachhochschule gilt als Normalfall. Doch das gesetzli</w:t>
      </w:r>
      <w:r w:rsidR="00B920D0">
        <w:t>che Regelkorsett wurde über die</w:t>
      </w:r>
    </w:p>
    <w:p w:rsidR="00B920D0" w:rsidRDefault="009E447B" w:rsidP="00B920D0">
      <w:pPr>
        <w:pStyle w:val="Listenfortsetzung"/>
      </w:pPr>
      <w:r>
        <w:t>Jahre zu eng für die, denen es passen sollte. Früher l</w:t>
      </w:r>
      <w:r w:rsidR="00B920D0">
        <w:t>ief es so: Abi, Uni, Job. Heute</w:t>
      </w:r>
    </w:p>
    <w:p w:rsidR="00B920D0" w:rsidRDefault="009E447B" w:rsidP="00B920D0">
      <w:pPr>
        <w:pStyle w:val="Listenfortsetzung"/>
      </w:pPr>
      <w:r>
        <w:lastRenderedPageBreak/>
        <w:t>macht die eine erst mal eine Ausbildung, der andere</w:t>
      </w:r>
      <w:r w:rsidR="00B920D0">
        <w:t xml:space="preserve"> studiert in Teilzeit neben dem</w:t>
      </w:r>
    </w:p>
    <w:p w:rsidR="009E447B" w:rsidRDefault="009E447B" w:rsidP="00B920D0">
      <w:pPr>
        <w:pStyle w:val="Listenfortsetzung"/>
      </w:pPr>
      <w:r>
        <w:t>Beruf, die Nächste braucht länger, weil sie ihre Eltern pflegt. Eine Förderung ist für</w:t>
      </w:r>
    </w:p>
    <w:p w:rsidR="00B920D0" w:rsidRDefault="009E447B" w:rsidP="00E9570E">
      <w:pPr>
        <w:pStyle w:val="Liste"/>
      </w:pPr>
      <w:r>
        <w:t>35</w:t>
      </w:r>
      <w:r>
        <w:tab/>
        <w:t>solche Lebensläufe komplizierter oder gar nicht erst v</w:t>
      </w:r>
      <w:r w:rsidR="00B920D0">
        <w:t>orgesehen. Das trifft vor allem</w:t>
      </w:r>
    </w:p>
    <w:p w:rsidR="00B920D0" w:rsidRDefault="009E447B" w:rsidP="00B920D0">
      <w:pPr>
        <w:pStyle w:val="Listenfortsetzung"/>
      </w:pPr>
      <w:r>
        <w:t>Studierende aus niedriger Bildungsherkunft: Wer kei</w:t>
      </w:r>
      <w:r w:rsidR="00B920D0">
        <w:t>ne finanziellen Ressourcen hat,</w:t>
      </w:r>
    </w:p>
    <w:p w:rsidR="00B920D0" w:rsidRDefault="009E447B" w:rsidP="00B920D0">
      <w:pPr>
        <w:pStyle w:val="Listenfortsetzung"/>
      </w:pPr>
      <w:r>
        <w:t>wagt seltener ein jahrelanges Studium. Ihr Anteil</w:t>
      </w:r>
      <w:r w:rsidR="00B920D0">
        <w:t xml:space="preserve"> an Bafög-Empfängern sinkt </w:t>
      </w:r>
      <w:proofErr w:type="gramStart"/>
      <w:r w:rsidR="00B920D0">
        <w:t>seit</w:t>
      </w:r>
      <w:proofErr w:type="gramEnd"/>
    </w:p>
    <w:p w:rsidR="00B920D0" w:rsidRDefault="009E447B" w:rsidP="00B920D0">
      <w:pPr>
        <w:pStyle w:val="Listenfortsetzung"/>
      </w:pPr>
      <w:r>
        <w:t>Jahren. Die meisten aber schaffen es gar nicht ers</w:t>
      </w:r>
      <w:r w:rsidR="00B920D0">
        <w:t>t, in die Förderung aufgenommen</w:t>
      </w:r>
    </w:p>
    <w:p w:rsidR="009E447B" w:rsidRDefault="009E447B" w:rsidP="00B920D0">
      <w:pPr>
        <w:pStyle w:val="Listenfortsetzung"/>
      </w:pPr>
      <w:r>
        <w:t>zu werden: Dramatische 71 Prozent derjenigen mit niedriger Bildungsherkunft, die</w:t>
      </w:r>
    </w:p>
    <w:p w:rsidR="00B920D0" w:rsidRDefault="009E447B" w:rsidP="00E9570E">
      <w:pPr>
        <w:pStyle w:val="Liste"/>
      </w:pPr>
      <w:r>
        <w:t>40</w:t>
      </w:r>
      <w:r>
        <w:tab/>
        <w:t>einen Bafög-Erstantrag stellen, bekamen zuletzt ein</w:t>
      </w:r>
      <w:r w:rsidR="00B920D0">
        <w:t>en Ablehnungsbescheid – mit der</w:t>
      </w:r>
    </w:p>
    <w:p w:rsidR="009E447B" w:rsidRDefault="009E447B" w:rsidP="00B920D0">
      <w:pPr>
        <w:pStyle w:val="Listenfortsetzung"/>
      </w:pPr>
      <w:r>
        <w:t>Begründung, das Einkommen der Eltern sei zu hoch. […]</w:t>
      </w:r>
    </w:p>
    <w:p w:rsidR="00B920D0" w:rsidRDefault="009E447B" w:rsidP="00B920D0">
      <w:pPr>
        <w:pStyle w:val="Listenfortsetzung"/>
      </w:pPr>
      <w:r>
        <w:t>Bevor das Bafög 1971 eingeführt wurde, gab es an den Universitäte</w:t>
      </w:r>
      <w:r w:rsidR="00B920D0">
        <w:t xml:space="preserve">n das </w:t>
      </w:r>
      <w:proofErr w:type="spellStart"/>
      <w:r w:rsidR="00B920D0">
        <w:t>Honnefer</w:t>
      </w:r>
      <w:proofErr w:type="spellEnd"/>
    </w:p>
    <w:p w:rsidR="00B920D0" w:rsidRDefault="009E447B" w:rsidP="00B920D0">
      <w:pPr>
        <w:pStyle w:val="Listenfortsetzung"/>
      </w:pPr>
      <w:r>
        <w:t>Modell, ein Stipendium, das begabte Studierende</w:t>
      </w:r>
      <w:r w:rsidR="00B920D0">
        <w:t xml:space="preserve"> erhielten. Das Bafög brach mit</w:t>
      </w:r>
    </w:p>
    <w:p w:rsidR="009E447B" w:rsidRDefault="009E447B" w:rsidP="00B920D0">
      <w:pPr>
        <w:pStyle w:val="Listenfortsetzung"/>
      </w:pPr>
      <w:r>
        <w:t>diesem Prinzip, es formulierte einen Gesetzesanspruch: Das Geld wurde nicht an der</w:t>
      </w:r>
    </w:p>
    <w:p w:rsidR="00B920D0" w:rsidRDefault="009E447B" w:rsidP="00E9570E">
      <w:pPr>
        <w:pStyle w:val="Liste"/>
      </w:pPr>
      <w:r>
        <w:t>45</w:t>
      </w:r>
      <w:r>
        <w:tab/>
        <w:t>Leistung bemessen, sondern am Einkommen der Eltern. So ist es bis heute. Auc</w:t>
      </w:r>
      <w:r w:rsidR="00B920D0">
        <w:t>h</w:t>
      </w:r>
    </w:p>
    <w:p w:rsidR="00B920D0" w:rsidRDefault="009E447B" w:rsidP="00B920D0">
      <w:pPr>
        <w:pStyle w:val="Listenfortsetzung"/>
      </w:pPr>
      <w:r>
        <w:t>dann, wenn diese sich nicht mehr besonders elterlic</w:t>
      </w:r>
      <w:r w:rsidR="00B920D0">
        <w:t>h betätigen, müssen Studierende</w:t>
      </w:r>
    </w:p>
    <w:p w:rsidR="009E447B" w:rsidRDefault="009E447B" w:rsidP="00B920D0">
      <w:pPr>
        <w:pStyle w:val="Listenfortsetzung"/>
      </w:pPr>
      <w:r>
        <w:t>das Gehalt ihrer Eltern ins Antragsformular eintragen. […]</w:t>
      </w:r>
    </w:p>
    <w:p w:rsidR="00B920D0" w:rsidRDefault="009E447B" w:rsidP="00B920D0">
      <w:pPr>
        <w:pStyle w:val="Listenfortsetzung"/>
      </w:pPr>
      <w:r>
        <w:t>Das Bafög […] umzugestalten wäre eine komple</w:t>
      </w:r>
      <w:r w:rsidR="00B920D0">
        <w:t>xe sozial- und finanzpolitische</w:t>
      </w:r>
    </w:p>
    <w:p w:rsidR="009E447B" w:rsidRDefault="009E447B" w:rsidP="00B920D0">
      <w:pPr>
        <w:pStyle w:val="Listenfortsetzung"/>
      </w:pPr>
      <w:r>
        <w:t>Aufgabe: Kindergeld und Elternfreib</w:t>
      </w:r>
      <w:r w:rsidR="006114E1">
        <w:t>eträge</w:t>
      </w:r>
      <w:r w:rsidR="00E07CF7">
        <w:t xml:space="preserve"> </w:t>
      </w:r>
      <w:r w:rsidR="004D7FB9">
        <w:t>[1]</w:t>
      </w:r>
      <w:r>
        <w:t xml:space="preserve"> müssten neu aufgesetzt,</w:t>
      </w:r>
    </w:p>
    <w:p w:rsidR="00B920D0" w:rsidRDefault="009E447B" w:rsidP="00E9570E">
      <w:pPr>
        <w:pStyle w:val="Liste"/>
      </w:pPr>
      <w:r>
        <w:t>50</w:t>
      </w:r>
      <w:r>
        <w:tab/>
      </w:r>
      <w:r w:rsidR="006114E1">
        <w:t>Bemessungsgrenzen</w:t>
      </w:r>
      <w:r w:rsidR="00E07CF7">
        <w:t xml:space="preserve"> </w:t>
      </w:r>
      <w:r w:rsidR="004D7FB9">
        <w:t>[2]</w:t>
      </w:r>
      <w:r>
        <w:t xml:space="preserve"> festgesetzt, Gelder reserviert w</w:t>
      </w:r>
      <w:r w:rsidR="00B920D0">
        <w:t>erden. Stoff, mit dem sich eine</w:t>
      </w:r>
    </w:p>
    <w:p w:rsidR="009E447B" w:rsidRDefault="009E447B" w:rsidP="00B920D0">
      <w:pPr>
        <w:pStyle w:val="Listenfortsetzung"/>
      </w:pPr>
      <w:r>
        <w:t>Koalitionsverhandlung bestreiten lässt.</w:t>
      </w:r>
    </w:p>
    <w:p w:rsidR="00B920D0" w:rsidRDefault="009E447B" w:rsidP="00B920D0">
      <w:pPr>
        <w:pStyle w:val="Listenfortsetzung"/>
      </w:pPr>
      <w:r>
        <w:lastRenderedPageBreak/>
        <w:t>Es geht dabei aber um mehr – um einen grunds</w:t>
      </w:r>
      <w:r w:rsidR="00B920D0">
        <w:t>ätzlichen Paradigmenwechsel: Er</w:t>
      </w:r>
    </w:p>
    <w:p w:rsidR="00B920D0" w:rsidRDefault="009E447B" w:rsidP="00B920D0">
      <w:pPr>
        <w:pStyle w:val="Listenfortsetzung"/>
      </w:pPr>
      <w:r>
        <w:t xml:space="preserve">würde den Bildungsweg der Jungen gänzlich aus dem </w:t>
      </w:r>
      <w:r w:rsidR="00B920D0">
        <w:t>elterlichen Kontext lösen. Kein</w:t>
      </w:r>
    </w:p>
    <w:p w:rsidR="009E447B" w:rsidRDefault="009E447B" w:rsidP="00B920D0">
      <w:pPr>
        <w:pStyle w:val="Listenfortsetzung"/>
      </w:pPr>
      <w:r>
        <w:t>„Kinder-“Geld mehr für Anfang Zwanzigjährige, kein „Eltern haften für ihre Kinder“-</w:t>
      </w:r>
    </w:p>
    <w:p w:rsidR="00B920D0" w:rsidRDefault="009E447B" w:rsidP="00E9570E">
      <w:pPr>
        <w:pStyle w:val="Liste"/>
      </w:pPr>
      <w:r>
        <w:t>55</w:t>
      </w:r>
      <w:r>
        <w:tab/>
        <w:t>Prinzip. Das kann man als Auf</w:t>
      </w:r>
      <w:r w:rsidR="006114E1">
        <w:t>lösung des Generationenvertrags</w:t>
      </w:r>
      <w:r w:rsidR="00E07CF7">
        <w:t xml:space="preserve"> </w:t>
      </w:r>
      <w:r w:rsidR="004D7FB9">
        <w:t>[3]</w:t>
      </w:r>
      <w:r w:rsidR="00B920D0">
        <w:t xml:space="preserve"> deuten, wie die CDU,</w:t>
      </w:r>
    </w:p>
    <w:p w:rsidR="00B920D0" w:rsidRDefault="009E447B" w:rsidP="00B920D0">
      <w:pPr>
        <w:pStyle w:val="Listenfortsetzung"/>
      </w:pPr>
      <w:r>
        <w:t>die Bildungsverläufe von familiärer Verantwortung au</w:t>
      </w:r>
      <w:r w:rsidR="00B920D0">
        <w:t>s denkt. Oder, wie die SPD, als</w:t>
      </w:r>
    </w:p>
    <w:p w:rsidR="00B920D0" w:rsidRDefault="009E447B" w:rsidP="00B920D0">
      <w:pPr>
        <w:pStyle w:val="Listenfortsetzung"/>
      </w:pPr>
      <w:r>
        <w:t>Weiterentwicklung der alten Ursprungsidee: Den</w:t>
      </w:r>
      <w:r w:rsidR="00B920D0">
        <w:t xml:space="preserve">n wo </w:t>
      </w:r>
      <w:proofErr w:type="gramStart"/>
      <w:r w:rsidR="00B920D0">
        <w:t>das</w:t>
      </w:r>
      <w:proofErr w:type="gramEnd"/>
      <w:r w:rsidR="00B920D0">
        <w:t xml:space="preserve"> Bafög die Studierenden</w:t>
      </w:r>
    </w:p>
    <w:p w:rsidR="00B920D0" w:rsidRDefault="009E447B" w:rsidP="00B920D0">
      <w:pPr>
        <w:pStyle w:val="Listenfortsetzung"/>
      </w:pPr>
      <w:r>
        <w:t>nicht mehr an ihre Eltern bindet, taugt es als Instrument der Emanzipation zu</w:t>
      </w:r>
    </w:p>
    <w:p w:rsidR="00B920D0" w:rsidRDefault="009E447B" w:rsidP="001E2F20">
      <w:pPr>
        <w:pStyle w:val="Listenfortsetzung"/>
      </w:pPr>
      <w:r>
        <w:t>mündigen Bürgern.</w:t>
      </w:r>
    </w:p>
    <w:p w:rsidR="0087666C" w:rsidRDefault="0087666C" w:rsidP="00627CE3">
      <w:pPr>
        <w:pStyle w:val="Liste"/>
      </w:pPr>
      <w:r w:rsidRPr="009E447B">
        <w:t>(604 Wörter)</w:t>
      </w:r>
    </w:p>
    <w:p w:rsidR="001E2F20" w:rsidRDefault="001E2F20" w:rsidP="00627CE3">
      <w:pPr>
        <w:pStyle w:val="Liste"/>
      </w:pPr>
    </w:p>
    <w:p w:rsidR="00B920D0" w:rsidRDefault="004D7FB9" w:rsidP="00B920D0">
      <w:pPr>
        <w:pStyle w:val="Liste"/>
      </w:pPr>
      <w:r>
        <w:t>[1]</w:t>
      </w:r>
      <w:r w:rsidR="00B920D0">
        <w:tab/>
      </w:r>
      <w:r w:rsidR="009E447B">
        <w:t>Elternfreibetrag – Betrag des elterlichen Einkommens, auf den keine Steuer gezahlt werden muss</w:t>
      </w:r>
    </w:p>
    <w:p w:rsidR="00B920D0" w:rsidRDefault="004D7FB9" w:rsidP="00B920D0">
      <w:pPr>
        <w:pStyle w:val="Liste"/>
      </w:pPr>
      <w:r>
        <w:t>[2]</w:t>
      </w:r>
      <w:r w:rsidR="00B920D0">
        <w:tab/>
      </w:r>
      <w:r w:rsidR="009E447B">
        <w:t>Bemessungsgrenze – Höhe des Einkommens der Eltern; entscheidet über Anspruch auf Bafög und dessen Höhe</w:t>
      </w:r>
    </w:p>
    <w:p w:rsidR="0087666C" w:rsidRDefault="004D7FB9" w:rsidP="00B920D0">
      <w:pPr>
        <w:pStyle w:val="Liste"/>
      </w:pPr>
      <w:r>
        <w:t>[3]</w:t>
      </w:r>
      <w:r w:rsidR="00B920D0">
        <w:tab/>
      </w:r>
      <w:r w:rsidR="009E447B">
        <w:t>Generationenvertrag – Bezeichnung für den unausgesprochenen „Vertrag“ zwischen der beitragszahlenden und der Renten empfangenden Generation</w:t>
      </w:r>
    </w:p>
    <w:p w:rsidR="001E2F20" w:rsidRDefault="001E2F20" w:rsidP="00B920D0">
      <w:pPr>
        <w:pStyle w:val="Liste"/>
      </w:pPr>
    </w:p>
    <w:p w:rsidR="00627CE3" w:rsidRDefault="00627CE3" w:rsidP="00627CE3">
      <w:r w:rsidRPr="00B35C71">
        <w:t>Quelle:</w:t>
      </w:r>
      <w:r>
        <w:t xml:space="preserve"> </w:t>
      </w:r>
      <w:r w:rsidRPr="009E447B">
        <w:t>Scholz, A.-L. (2021, 19. August). „Auf sich gestellt.“ Die Zeit. S. 29.</w:t>
      </w:r>
    </w:p>
    <w:sectPr w:rsidR="00627CE3" w:rsidSect="001E2F20">
      <w:pgSz w:w="23811" w:h="16838" w:orient="landscape" w:code="8"/>
      <w:pgMar w:top="1417" w:right="1417" w:bottom="1417" w:left="1134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A15D2B">
          <w:t xml:space="preserve"> 2024</w:t>
        </w:r>
        <w:r w:rsidR="000312FE">
          <w:t xml:space="preserve"> -</w:t>
        </w:r>
        <w:r w:rsidR="00C05DD0" w:rsidRPr="00C05DD0">
          <w:rPr>
            <w:color w:val="000000" w:themeColor="text1"/>
          </w:rPr>
          <w:t xml:space="preserve"> </w:t>
        </w:r>
        <w:proofErr w:type="spellStart"/>
        <w:r w:rsidR="00C05DD0" w:rsidRPr="00C05DD0">
          <w:rPr>
            <w:color w:val="000000" w:themeColor="text1"/>
          </w:rPr>
          <w:t>eA</w:t>
        </w:r>
        <w:proofErr w:type="spellEnd"/>
        <w:r w:rsidR="00030B19">
          <w:rPr>
            <w:color w:val="000000" w:themeColor="text1"/>
          </w:rPr>
          <w:t xml:space="preserve"> ME -</w:t>
        </w:r>
        <w:r w:rsidR="00FF4F1E">
          <w:rPr>
            <w:color w:val="000000" w:themeColor="text1"/>
          </w:rPr>
          <w:t xml:space="preserve"> </w:t>
        </w:r>
        <w:r w:rsidR="00E07CF7">
          <w:rPr>
            <w:color w:val="000000" w:themeColor="text1"/>
          </w:rPr>
          <w:t>1b</w:t>
        </w:r>
        <w:r w:rsidR="00E9570E">
          <w:rPr>
            <w:color w:val="000000" w:themeColor="text1"/>
          </w:rPr>
          <w:t xml:space="preserve"> 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12F0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12F0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B19"/>
    <w:rsid w:val="000312FE"/>
    <w:rsid w:val="00036F44"/>
    <w:rsid w:val="000C1AAF"/>
    <w:rsid w:val="001E2F20"/>
    <w:rsid w:val="001F5409"/>
    <w:rsid w:val="00212F0D"/>
    <w:rsid w:val="00257089"/>
    <w:rsid w:val="00296825"/>
    <w:rsid w:val="00327594"/>
    <w:rsid w:val="00381F5D"/>
    <w:rsid w:val="003B450E"/>
    <w:rsid w:val="004A4F7A"/>
    <w:rsid w:val="004B3DC5"/>
    <w:rsid w:val="004B595C"/>
    <w:rsid w:val="004D7FB9"/>
    <w:rsid w:val="005775C9"/>
    <w:rsid w:val="00597DB8"/>
    <w:rsid w:val="005F3C17"/>
    <w:rsid w:val="006114E1"/>
    <w:rsid w:val="00627CE3"/>
    <w:rsid w:val="00651993"/>
    <w:rsid w:val="00666D63"/>
    <w:rsid w:val="006965CC"/>
    <w:rsid w:val="006C2C59"/>
    <w:rsid w:val="00750B43"/>
    <w:rsid w:val="007D7E96"/>
    <w:rsid w:val="007E5952"/>
    <w:rsid w:val="007F64DE"/>
    <w:rsid w:val="0087666C"/>
    <w:rsid w:val="008B0728"/>
    <w:rsid w:val="008C464F"/>
    <w:rsid w:val="008F32B4"/>
    <w:rsid w:val="008F63FB"/>
    <w:rsid w:val="009176D4"/>
    <w:rsid w:val="00923BA3"/>
    <w:rsid w:val="00954AA3"/>
    <w:rsid w:val="009D119A"/>
    <w:rsid w:val="009E447B"/>
    <w:rsid w:val="009E5CE2"/>
    <w:rsid w:val="009E6FA1"/>
    <w:rsid w:val="009F7DF3"/>
    <w:rsid w:val="00A06DFF"/>
    <w:rsid w:val="00A0791F"/>
    <w:rsid w:val="00A15D2B"/>
    <w:rsid w:val="00A27E56"/>
    <w:rsid w:val="00A57D50"/>
    <w:rsid w:val="00A83C8F"/>
    <w:rsid w:val="00A95E85"/>
    <w:rsid w:val="00AC5A1F"/>
    <w:rsid w:val="00AD732D"/>
    <w:rsid w:val="00B17B36"/>
    <w:rsid w:val="00B35C71"/>
    <w:rsid w:val="00B42B92"/>
    <w:rsid w:val="00B920D0"/>
    <w:rsid w:val="00BA0894"/>
    <w:rsid w:val="00BF5D39"/>
    <w:rsid w:val="00C05DD0"/>
    <w:rsid w:val="00C11AFC"/>
    <w:rsid w:val="00C31881"/>
    <w:rsid w:val="00C370A1"/>
    <w:rsid w:val="00CD4D5E"/>
    <w:rsid w:val="00CE6518"/>
    <w:rsid w:val="00D36975"/>
    <w:rsid w:val="00D37721"/>
    <w:rsid w:val="00E07CF7"/>
    <w:rsid w:val="00E3259B"/>
    <w:rsid w:val="00E453A9"/>
    <w:rsid w:val="00E67B7D"/>
    <w:rsid w:val="00E9570E"/>
    <w:rsid w:val="00EA00E5"/>
    <w:rsid w:val="00EF04EC"/>
    <w:rsid w:val="00F14E51"/>
    <w:rsid w:val="00F22936"/>
    <w:rsid w:val="00F478E1"/>
    <w:rsid w:val="00FD5FE0"/>
    <w:rsid w:val="00FF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2F20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E2F20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48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E2F20"/>
    <w:pPr>
      <w:keepNext/>
      <w:pBdr>
        <w:top w:val="single" w:sz="24" w:space="8" w:color="C00000"/>
        <w:left w:val="single" w:sz="24" w:space="4" w:color="C00000"/>
        <w:bottom w:val="single" w:sz="24" w:space="4" w:color="C00000"/>
        <w:right w:val="single" w:sz="24" w:space="4" w:color="C00000"/>
      </w:pBdr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5C9"/>
    <w:pPr>
      <w:keepNext/>
      <w:pBdr>
        <w:top w:val="single" w:sz="24" w:space="8" w:color="C00000"/>
        <w:left w:val="single" w:sz="24" w:space="4" w:color="C00000"/>
        <w:bottom w:val="single" w:sz="24" w:space="1" w:color="C00000"/>
        <w:right w:val="single" w:sz="24" w:space="4" w:color="C00000"/>
      </w:pBdr>
      <w:tabs>
        <w:tab w:val="left" w:pos="1134"/>
      </w:tabs>
      <w:spacing w:before="240" w:after="36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E2F20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E2F20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775C9"/>
    <w:rPr>
      <w:rFonts w:ascii="Arial" w:eastAsia="Calibri" w:hAnsi="Arial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381F5D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D3772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28B72-FB70-4403-932C-FE84CAA2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789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18</cp:revision>
  <dcterms:created xsi:type="dcterms:W3CDTF">2024-03-13T12:14:00Z</dcterms:created>
  <dcterms:modified xsi:type="dcterms:W3CDTF">2024-08-09T12:37:00Z</dcterms:modified>
</cp:coreProperties>
</file>